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Arial" w:hAnsi="Arial"/>
          <w:b/>
          <w:color w:val="F36F21"/>
          <w:sz w:val="36"/>
        </w:rPr>
        <w:t>LAUDA CENTRAL EUROPE</w:t>
      </w:r>
    </w:p>
    <w:p>
      <w:pPr>
        <w:spacing w:after="400"/>
      </w:pPr>
      <w:r>
        <w:rPr>
          <w:rFonts w:ascii="Arial" w:hAnsi="Arial"/>
          <w:b/>
          <w:color w:val="1E293B"/>
          <w:sz w:val="22"/>
        </w:rPr>
        <w:t>OFICJALNA OFERTA HANDLOWA B2B / DYSTRYBUCJA CEE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>
              <w:rPr>
                <w:b/>
                <w:sz w:val="19"/>
              </w:rPr>
              <w:t>Lp.</w:t>
            </w:r>
          </w:p>
        </w:tc>
        <w:tc>
          <w:tcPr>
            <w:tcW w:type="dxa" w:w="2484"/>
          </w:tcPr>
          <w:p>
            <w:r>
              <w:rPr>
                <w:b/>
                <w:sz w:val="19"/>
              </w:rPr>
              <w:t>Model / Indeks Produktu</w:t>
            </w:r>
          </w:p>
        </w:tc>
        <w:tc>
          <w:tcPr>
            <w:tcW w:type="dxa" w:w="2484"/>
          </w:tcPr>
          <w:p>
            <w:r>
              <w:rPr>
                <w:b/>
                <w:sz w:val="19"/>
              </w:rPr>
              <w:t>Cena Katalogowa (EUR)</w:t>
            </w:r>
          </w:p>
        </w:tc>
        <w:tc>
          <w:tcPr>
            <w:tcW w:type="dxa" w:w="2484"/>
          </w:tcPr>
          <w:p>
            <w:r>
              <w:rPr>
                <w:b/>
                <w:sz w:val="19"/>
              </w:rPr>
              <w:t>Warunki Rabatowe B2B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HK Audio Linear 9 210 LTA (Long-Throw Active)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3 890,00 EUR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Dealer Tier 1 / -32%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HK Audio Linear 9 118 Sub BA (Bass Reflex Dual 18")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2 950,00 EUR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Dealer Tier 1 / -32%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Pulpit Cyfrowy Allen &amp; Heath SQ-6 + Stagebox GX4816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4 490,00 EUR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Partner Pro Audio / -28%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Pakiet Okablowania Klotz Pro Tour &amp; Akcesoria Rigging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850,00 EUR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Standard B2B / -25%</w:t>
            </w:r>
          </w:p>
        </w:tc>
      </w:tr>
    </w:tbl>
    <w:sectPr w:rsidR="00FC693F" w:rsidRPr="0006063C" w:rsidSect="00034616">
      <w:pgSz w:w="12240" w:h="15840"/>
      <w:pgMar w:top="1152" w:right="1152" w:bottom="129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